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1C80F" w14:textId="59E8E78F" w:rsidR="00004FFC" w:rsidRDefault="00004FFC" w:rsidP="00122122"/>
    <w:p w14:paraId="2757DDEC" w14:textId="32DACA6B" w:rsidR="00122122" w:rsidRDefault="00122122" w:rsidP="00122122">
      <w:pPr>
        <w:jc w:val="center"/>
      </w:pPr>
    </w:p>
    <w:p w14:paraId="46C2F26C" w14:textId="1AEA281C" w:rsidR="00122122" w:rsidRDefault="00122122" w:rsidP="00122122">
      <w:pPr>
        <w:jc w:val="center"/>
      </w:pPr>
    </w:p>
    <w:p w14:paraId="7852C73A" w14:textId="24117165" w:rsidR="00122122" w:rsidRDefault="004F7469" w:rsidP="00122122">
      <w:pPr>
        <w:jc w:val="center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AD79381" wp14:editId="2CD7FD9E">
                <wp:simplePos x="0" y="0"/>
                <wp:positionH relativeFrom="column">
                  <wp:posOffset>403860</wp:posOffset>
                </wp:positionH>
                <wp:positionV relativeFrom="paragraph">
                  <wp:posOffset>22860</wp:posOffset>
                </wp:positionV>
                <wp:extent cx="4934585" cy="3026410"/>
                <wp:effectExtent l="0" t="0" r="18415" b="2159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4585" cy="3026410"/>
                          <a:chOff x="523240" y="0"/>
                          <a:chExt cx="4934585" cy="302641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240" y="0"/>
                            <a:ext cx="4934585" cy="3003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57C6F0" w14:textId="17AE9AD6" w:rsidR="00122122" w:rsidRDefault="00122122" w:rsidP="004F7469">
                              <w:pPr>
                                <w:jc w:val="center"/>
                              </w:pPr>
                              <w:r>
                                <w:t>Volatility of Returns – A Basic Explanation</w:t>
                              </w:r>
                            </w:p>
                            <w:p w14:paraId="6E77A014" w14:textId="77777777" w:rsidR="00122122" w:rsidRDefault="00122122" w:rsidP="004F7469">
                              <w:pPr>
                                <w:jc w:val="center"/>
                              </w:pPr>
                            </w:p>
                            <w:p w14:paraId="7E45169F" w14:textId="77777777" w:rsidR="00122122" w:rsidRDefault="00122122" w:rsidP="004F7469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06BEAF2" wp14:editId="4720EAC7">
                                    <wp:extent cx="4274288" cy="2317897"/>
                                    <wp:effectExtent l="0" t="0" r="12065" b="25400"/>
                                    <wp:docPr id="1" name="Chart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chart">
                                        <c:chart xmlns:c="http://schemas.openxmlformats.org/drawingml/2006/chart" xmlns:r="http://schemas.openxmlformats.org/officeDocument/2006/relationships" r:id="rId4"/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B81DF9A" w14:textId="6CE639C9" w:rsidR="00122122" w:rsidRDefault="00122122" w:rsidP="004F7469">
                              <w:pPr>
                                <w:jc w:val="center"/>
                              </w:pPr>
                            </w:p>
                            <w:p w14:paraId="5743C4B6" w14:textId="77777777" w:rsidR="00122122" w:rsidRDefault="00122122" w:rsidP="004F746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74930" y="1306830"/>
                            <a:ext cx="1555114" cy="276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BC6036" w14:textId="3D672758" w:rsidR="00122122" w:rsidRDefault="00122122">
                              <w:r>
                                <w:t>Returns in percentage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0080" y="2750820"/>
                            <a:ext cx="1143000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F4F142" w14:textId="34E38E73" w:rsidR="00122122" w:rsidRDefault="00122122">
                              <w:r>
                                <w:t>Period in years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D79381" id="Group 10" o:spid="_x0000_s1026" style="position:absolute;left:0;text-align:left;margin-left:31.8pt;margin-top:1.8pt;width:388.55pt;height:238.3pt;z-index:251663360;mso-width-relative:margin" coordorigin="5232" coordsize="49345,30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232;width:49346;height:30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1C57C6F0" w14:textId="17AE9AD6" w:rsidR="00122122" w:rsidRDefault="00122122" w:rsidP="004F7469">
                        <w:pPr>
                          <w:jc w:val="center"/>
                        </w:pPr>
                        <w:r>
                          <w:t>Volatility of Returns – A Basic Explanation</w:t>
                        </w:r>
                      </w:p>
                      <w:p w14:paraId="6E77A014" w14:textId="77777777" w:rsidR="00122122" w:rsidRDefault="00122122" w:rsidP="004F7469">
                        <w:pPr>
                          <w:jc w:val="center"/>
                        </w:pPr>
                      </w:p>
                      <w:p w14:paraId="7E45169F" w14:textId="77777777" w:rsidR="00122122" w:rsidRDefault="00122122" w:rsidP="004F746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06BEAF2" wp14:editId="4720EAC7">
                              <wp:extent cx="4274288" cy="2317897"/>
                              <wp:effectExtent l="0" t="0" r="12065" b="25400"/>
                              <wp:docPr id="1" name="Chart 1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4"/>
                                </a:graphicData>
                              </a:graphic>
                            </wp:inline>
                          </w:drawing>
                        </w:r>
                      </w:p>
                      <w:p w14:paraId="3B81DF9A" w14:textId="6CE639C9" w:rsidR="00122122" w:rsidRDefault="00122122" w:rsidP="004F7469">
                        <w:pPr>
                          <w:jc w:val="center"/>
                        </w:pPr>
                      </w:p>
                      <w:p w14:paraId="5743C4B6" w14:textId="77777777" w:rsidR="00122122" w:rsidRDefault="00122122" w:rsidP="004F746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" o:spid="_x0000_s1028" type="#_x0000_t202" style="position:absolute;left:-750;top:13068;width:15551;height:27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">
                  <v:textbox style="mso-fit-shape-to-text:t">
                    <w:txbxContent>
                      <w:p w14:paraId="77BC6036" w14:textId="3D672758" w:rsidR="00122122" w:rsidRDefault="00122122">
                        <w:r>
                          <w:t>Returns in percentage</w:t>
                        </w:r>
                      </w:p>
                    </w:txbxContent>
                  </v:textbox>
                </v:shape>
                <v:shape id="Text Box 2" o:spid="_x0000_s1029" type="#_x0000_t202" style="position:absolute;left:19100;top:27508;width:1143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">
                  <v:textbox style="mso-fit-shape-to-text:t">
                    <w:txbxContent>
                      <w:p w14:paraId="79F4F142" w14:textId="34E38E73" w:rsidR="00122122" w:rsidRDefault="00122122">
                        <w:r>
                          <w:t>Period in years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bookmarkEnd w:id="0"/>
    </w:p>
    <w:p w14:paraId="37255240" w14:textId="3B4BD801" w:rsidR="00122122" w:rsidRDefault="00122122" w:rsidP="00122122">
      <w:pPr>
        <w:jc w:val="center"/>
      </w:pPr>
    </w:p>
    <w:p w14:paraId="5013C4AC" w14:textId="6B9DE2E3" w:rsidR="00122122" w:rsidRDefault="00122122" w:rsidP="00122122">
      <w:pPr>
        <w:jc w:val="center"/>
      </w:pPr>
    </w:p>
    <w:p w14:paraId="6779218E" w14:textId="724C5C0C" w:rsidR="00122122" w:rsidRDefault="00122122" w:rsidP="00122122">
      <w:pPr>
        <w:jc w:val="center"/>
      </w:pPr>
    </w:p>
    <w:p w14:paraId="546D8FE9" w14:textId="57900D91" w:rsidR="00122122" w:rsidRDefault="00122122" w:rsidP="00122122">
      <w:pPr>
        <w:jc w:val="center"/>
      </w:pPr>
    </w:p>
    <w:p w14:paraId="73A219C1" w14:textId="741F7670" w:rsidR="00122122" w:rsidRDefault="00122122" w:rsidP="00122122">
      <w:pPr>
        <w:jc w:val="center"/>
      </w:pPr>
    </w:p>
    <w:p w14:paraId="4EE87FD3" w14:textId="71E8A2D3" w:rsidR="00122122" w:rsidRDefault="00122122" w:rsidP="00122122">
      <w:pPr>
        <w:jc w:val="center"/>
      </w:pPr>
    </w:p>
    <w:p w14:paraId="730678AC" w14:textId="050CC0FF" w:rsidR="00122122" w:rsidRDefault="00122122" w:rsidP="00122122">
      <w:pPr>
        <w:jc w:val="center"/>
      </w:pPr>
    </w:p>
    <w:p w14:paraId="1AC379DD" w14:textId="73C273C0" w:rsidR="00122122" w:rsidRDefault="00122122" w:rsidP="00122122">
      <w:pPr>
        <w:jc w:val="center"/>
      </w:pPr>
    </w:p>
    <w:p w14:paraId="61F78045" w14:textId="557D52E1" w:rsidR="00122122" w:rsidRDefault="00122122" w:rsidP="00122122">
      <w:pPr>
        <w:jc w:val="center"/>
      </w:pPr>
    </w:p>
    <w:p w14:paraId="0B0DA93F" w14:textId="771D8A70" w:rsidR="00122122" w:rsidRDefault="00122122" w:rsidP="00122122">
      <w:pPr>
        <w:jc w:val="center"/>
      </w:pPr>
    </w:p>
    <w:p w14:paraId="16CB7D26" w14:textId="1486F5DD" w:rsidR="00122122" w:rsidRDefault="00122122" w:rsidP="00122122">
      <w:pPr>
        <w:jc w:val="center"/>
      </w:pPr>
    </w:p>
    <w:p w14:paraId="11482105" w14:textId="7070457D" w:rsidR="00122122" w:rsidRDefault="00122122" w:rsidP="00122122">
      <w:pPr>
        <w:jc w:val="center"/>
      </w:pPr>
    </w:p>
    <w:p w14:paraId="5F2E3D5D" w14:textId="76435810" w:rsidR="00122122" w:rsidRDefault="00122122" w:rsidP="00122122">
      <w:pPr>
        <w:jc w:val="center"/>
      </w:pPr>
    </w:p>
    <w:p w14:paraId="5311C77F" w14:textId="5DAEC1B0" w:rsidR="00122122" w:rsidRDefault="00122122" w:rsidP="00122122">
      <w:pPr>
        <w:jc w:val="center"/>
      </w:pPr>
    </w:p>
    <w:p w14:paraId="061B2152" w14:textId="0168307A" w:rsidR="00122122" w:rsidRDefault="00122122" w:rsidP="00122122">
      <w:pPr>
        <w:jc w:val="center"/>
      </w:pPr>
    </w:p>
    <w:p w14:paraId="19156361" w14:textId="1E295C20" w:rsidR="00122122" w:rsidRDefault="00122122" w:rsidP="00122122">
      <w:pPr>
        <w:jc w:val="center"/>
      </w:pPr>
    </w:p>
    <w:p w14:paraId="5A6BE768" w14:textId="2A3D6D56" w:rsidR="00122122" w:rsidRDefault="00122122" w:rsidP="00122122">
      <w:pPr>
        <w:jc w:val="center"/>
      </w:pPr>
    </w:p>
    <w:sectPr w:rsidR="00122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D"/>
    <w:rsid w:val="00004FFC"/>
    <w:rsid w:val="00122122"/>
    <w:rsid w:val="004F7469"/>
    <w:rsid w:val="0083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C5D9"/>
  <w15:chartTrackingRefBased/>
  <w15:docId w15:val="{3A5A5C7D-DD75-456A-8278-9C2510F9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Share A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Year 1</c:v>
                </c:pt>
                <c:pt idx="1">
                  <c:v>Year 2</c:v>
                </c:pt>
                <c:pt idx="2">
                  <c:v>Year 3</c:v>
                </c:pt>
                <c:pt idx="3">
                  <c:v>Year 4</c:v>
                </c:pt>
                <c:pt idx="4">
                  <c:v>Year 5</c:v>
                </c:pt>
                <c:pt idx="5">
                  <c:v>Year 6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</c:v>
                </c:pt>
                <c:pt idx="1">
                  <c:v>2</c:v>
                </c:pt>
                <c:pt idx="2">
                  <c:v>3.5</c:v>
                </c:pt>
                <c:pt idx="3">
                  <c:v>2.5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153-4C21-BD65-AC99A2E4FF2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Share B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Year 1</c:v>
                </c:pt>
                <c:pt idx="1">
                  <c:v>Year 2</c:v>
                </c:pt>
                <c:pt idx="2">
                  <c:v>Year 3</c:v>
                </c:pt>
                <c:pt idx="3">
                  <c:v>Year 4</c:v>
                </c:pt>
                <c:pt idx="4">
                  <c:v>Year 5</c:v>
                </c:pt>
                <c:pt idx="5">
                  <c:v>Year 6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10</c:v>
                </c:pt>
                <c:pt idx="1">
                  <c:v>4</c:v>
                </c:pt>
                <c:pt idx="2">
                  <c:v>8</c:v>
                </c:pt>
                <c:pt idx="3">
                  <c:v>3</c:v>
                </c:pt>
                <c:pt idx="4">
                  <c:v>6</c:v>
                </c:pt>
                <c:pt idx="5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153-4C21-BD65-AC99A2E4FF2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Share C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Year 1</c:v>
                </c:pt>
                <c:pt idx="1">
                  <c:v>Year 2</c:v>
                </c:pt>
                <c:pt idx="2">
                  <c:v>Year 3</c:v>
                </c:pt>
                <c:pt idx="3">
                  <c:v>Year 4</c:v>
                </c:pt>
                <c:pt idx="4">
                  <c:v>Year 5</c:v>
                </c:pt>
                <c:pt idx="5">
                  <c:v>Year 6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14</c:v>
                </c:pt>
                <c:pt idx="1">
                  <c:v>7</c:v>
                </c:pt>
                <c:pt idx="2">
                  <c:v>12</c:v>
                </c:pt>
                <c:pt idx="3">
                  <c:v>5</c:v>
                </c:pt>
                <c:pt idx="4">
                  <c:v>10</c:v>
                </c:pt>
                <c:pt idx="5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153-4C21-BD65-AC99A2E4FF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105024"/>
        <c:axId val="139106560"/>
      </c:lineChart>
      <c:catAx>
        <c:axId val="139105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9106560"/>
        <c:crosses val="autoZero"/>
        <c:auto val="1"/>
        <c:lblAlgn val="ctr"/>
        <c:lblOffset val="100"/>
        <c:noMultiLvlLbl val="0"/>
      </c:catAx>
      <c:valAx>
        <c:axId val="139106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105024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 Kumar</dc:creator>
  <cp:keywords/>
  <dc:description/>
  <cp:lastModifiedBy>Ashok Kumar</cp:lastModifiedBy>
  <cp:revision>2</cp:revision>
  <dcterms:created xsi:type="dcterms:W3CDTF">2018-11-24T07:12:00Z</dcterms:created>
  <dcterms:modified xsi:type="dcterms:W3CDTF">2018-11-24T07:27:00Z</dcterms:modified>
</cp:coreProperties>
</file>